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F4" w:rsidRPr="00131B14" w:rsidRDefault="00A174F4" w:rsidP="00131B14">
      <w:pPr>
        <w:jc w:val="center"/>
        <w:rPr>
          <w:b/>
          <w:sz w:val="26"/>
          <w:szCs w:val="26"/>
        </w:rPr>
      </w:pPr>
      <w:r w:rsidRPr="00131B14">
        <w:rPr>
          <w:b/>
          <w:sz w:val="26"/>
          <w:szCs w:val="26"/>
        </w:rPr>
        <w:t>ОГОЛОШЕННЯ</w:t>
      </w:r>
    </w:p>
    <w:p w:rsidR="00A174F4" w:rsidRPr="00131B14" w:rsidRDefault="00A174F4" w:rsidP="00131B14">
      <w:pPr>
        <w:jc w:val="center"/>
        <w:rPr>
          <w:b/>
          <w:sz w:val="26"/>
          <w:szCs w:val="26"/>
        </w:rPr>
      </w:pPr>
      <w:r w:rsidRPr="00131B14">
        <w:rPr>
          <w:b/>
          <w:sz w:val="26"/>
          <w:szCs w:val="26"/>
        </w:rPr>
        <w:t>про добір на період дії карантину</w:t>
      </w:r>
    </w:p>
    <w:p w:rsidR="00A174F4" w:rsidRPr="00131B14" w:rsidRDefault="00A174F4" w:rsidP="00131B14">
      <w:pPr>
        <w:jc w:val="center"/>
        <w:rPr>
          <w:b/>
          <w:sz w:val="26"/>
          <w:szCs w:val="26"/>
        </w:rPr>
      </w:pPr>
    </w:p>
    <w:tbl>
      <w:tblPr>
        <w:tblStyle w:val="ae"/>
        <w:tblW w:w="10349" w:type="dxa"/>
        <w:tblInd w:w="-856" w:type="dxa"/>
        <w:tblLayout w:type="fixed"/>
        <w:tblLook w:val="04A0"/>
      </w:tblPr>
      <w:tblGrid>
        <w:gridCol w:w="425"/>
        <w:gridCol w:w="2978"/>
        <w:gridCol w:w="6946"/>
      </w:tblGrid>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Назва та категорія посади, стосовно якої прийнято рішення про необхідність призначення</w:t>
            </w:r>
          </w:p>
        </w:tc>
        <w:tc>
          <w:tcPr>
            <w:tcW w:w="6946" w:type="dxa"/>
            <w:vAlign w:val="center"/>
          </w:tcPr>
          <w:p w:rsidR="00F12E2E" w:rsidRPr="00B91898" w:rsidRDefault="007F1E98" w:rsidP="00F600F9">
            <w:pPr>
              <w:spacing w:line="240" w:lineRule="auto"/>
              <w:ind w:firstLine="0"/>
              <w:rPr>
                <w:sz w:val="24"/>
                <w:szCs w:val="24"/>
              </w:rPr>
            </w:pPr>
            <w:r w:rsidRPr="00B91898">
              <w:rPr>
                <w:sz w:val="24"/>
                <w:szCs w:val="24"/>
              </w:rPr>
              <w:t xml:space="preserve">Головний державний </w:t>
            </w:r>
            <w:r w:rsidR="00C10208">
              <w:rPr>
                <w:sz w:val="24"/>
                <w:szCs w:val="24"/>
              </w:rPr>
              <w:t>ревізор-</w:t>
            </w:r>
            <w:r w:rsidRPr="00B91898">
              <w:rPr>
                <w:sz w:val="24"/>
                <w:szCs w:val="24"/>
              </w:rPr>
              <w:t xml:space="preserve">інспектор </w:t>
            </w:r>
            <w:r w:rsidR="00B91898" w:rsidRPr="00B91898">
              <w:rPr>
                <w:sz w:val="24"/>
                <w:szCs w:val="24"/>
              </w:rPr>
              <w:t xml:space="preserve">відділу </w:t>
            </w:r>
            <w:r w:rsidR="008D7095">
              <w:rPr>
                <w:sz w:val="24"/>
                <w:szCs w:val="24"/>
              </w:rPr>
              <w:t>аналізу ризикових операцій управління інформаційно-аналітичного забезпечення</w:t>
            </w:r>
            <w:r w:rsidR="00CD42B4">
              <w:rPr>
                <w:b/>
              </w:rPr>
              <w:t xml:space="preserve"> </w:t>
            </w:r>
            <w:r w:rsidR="000726DC" w:rsidRPr="00B91898">
              <w:rPr>
                <w:sz w:val="24"/>
                <w:szCs w:val="24"/>
              </w:rPr>
              <w:t xml:space="preserve">Головного управління ДПС </w:t>
            </w:r>
            <w:r w:rsidR="008D7095">
              <w:rPr>
                <w:sz w:val="24"/>
                <w:szCs w:val="24"/>
              </w:rPr>
              <w:t xml:space="preserve">у </w:t>
            </w:r>
            <w:r w:rsidR="00F12E2E" w:rsidRPr="00B91898">
              <w:rPr>
                <w:sz w:val="24"/>
                <w:szCs w:val="24"/>
              </w:rPr>
              <w:t>м. Києві</w:t>
            </w:r>
            <w:r w:rsidR="009C2CE0" w:rsidRPr="00B91898">
              <w:rPr>
                <w:sz w:val="24"/>
                <w:szCs w:val="24"/>
              </w:rPr>
              <w:t>,</w:t>
            </w:r>
            <w:r w:rsidR="00F600F9" w:rsidRPr="00B91898">
              <w:rPr>
                <w:sz w:val="24"/>
                <w:szCs w:val="24"/>
              </w:rPr>
              <w:t xml:space="preserve"> </w:t>
            </w:r>
          </w:p>
          <w:p w:rsidR="00131B14" w:rsidRPr="007471B3" w:rsidRDefault="009C2CE0" w:rsidP="00F600F9">
            <w:pPr>
              <w:spacing w:line="240" w:lineRule="auto"/>
              <w:ind w:firstLine="0"/>
              <w:rPr>
                <w:sz w:val="24"/>
                <w:szCs w:val="24"/>
              </w:rPr>
            </w:pPr>
            <w:r w:rsidRPr="00B91898">
              <w:rPr>
                <w:sz w:val="24"/>
                <w:szCs w:val="24"/>
              </w:rPr>
              <w:t>категорія «</w:t>
            </w:r>
            <w:r w:rsidR="007F1E98" w:rsidRPr="00B91898">
              <w:rPr>
                <w:sz w:val="24"/>
                <w:szCs w:val="24"/>
              </w:rPr>
              <w:t>В</w:t>
            </w:r>
            <w:r w:rsidRPr="00B91898">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Посадові обов’язки</w:t>
            </w:r>
          </w:p>
        </w:tc>
        <w:tc>
          <w:tcPr>
            <w:tcW w:w="6946" w:type="dxa"/>
            <w:vAlign w:val="center"/>
          </w:tcPr>
          <w:p w:rsidR="00953965" w:rsidRPr="00D21DB1" w:rsidRDefault="00DE4A20" w:rsidP="00146DC3">
            <w:pPr>
              <w:pStyle w:val="a4"/>
              <w:numPr>
                <w:ilvl w:val="0"/>
                <w:numId w:val="6"/>
              </w:numPr>
              <w:spacing w:before="0" w:line="240" w:lineRule="auto"/>
              <w:ind w:left="288"/>
              <w:rPr>
                <w:sz w:val="24"/>
                <w:szCs w:val="24"/>
              </w:rPr>
            </w:pPr>
            <w:r w:rsidRPr="00D21DB1">
              <w:rPr>
                <w:color w:val="000000"/>
                <w:sz w:val="24"/>
                <w:szCs w:val="24"/>
              </w:rPr>
              <w:t>Інформаційно-аналітичне забезпечення проведення перевірок за даними інформаційних баз даних ДПС. Аналіз матеріалів контрольно-перевірочної роботи, інформації про схеми мінімізації, порушення податкового та іншого законодавства, контроль за дотриманням якого покладено на органи ДПС, виявлені при проведенні контрольно-перевірочної роботи.</w:t>
            </w:r>
          </w:p>
          <w:p w:rsidR="00DE4A20" w:rsidRPr="00D21DB1" w:rsidRDefault="00BE5477" w:rsidP="00146DC3">
            <w:pPr>
              <w:pStyle w:val="a4"/>
              <w:numPr>
                <w:ilvl w:val="0"/>
                <w:numId w:val="6"/>
              </w:numPr>
              <w:spacing w:before="0" w:line="240" w:lineRule="auto"/>
              <w:ind w:left="288"/>
              <w:rPr>
                <w:sz w:val="24"/>
                <w:szCs w:val="24"/>
              </w:rPr>
            </w:pPr>
            <w:r w:rsidRPr="00D21DB1">
              <w:rPr>
                <w:sz w:val="24"/>
                <w:szCs w:val="24"/>
              </w:rPr>
              <w:t>Виявлення та аналіз порушень податкового законодавства щодо використання суб’єктами господарювання схем і механізмів збільшення витрат, податкового кредиту з ПДВ, утворення збитковості/малоприбутковості, заниження доходу/податкових зобов’язань з ПДВ, виявлених у ході документальних перевірок. Проведення, координація документальних (планових та позапланових, крім підпунктів 78.1.8 в частині законності декларування заявленого до відшкодування з бюджету податку на додану вартість, 78.1.13, п. 78.1 ст. 78 Податкового Кодексу України (далі – ПКУ) перевірок, зустрічних звірок у межах зазначених перевірок юридичних осіб, розробка програм здійснення перевірок з урахуванням особливостей їх діяльності</w:t>
            </w:r>
            <w:r w:rsidR="00D21DB1">
              <w:rPr>
                <w:sz w:val="24"/>
                <w:szCs w:val="24"/>
              </w:rPr>
              <w:t>.</w:t>
            </w:r>
          </w:p>
          <w:p w:rsidR="00BE5477" w:rsidRPr="00D21DB1" w:rsidRDefault="00BE5477" w:rsidP="00146DC3">
            <w:pPr>
              <w:pStyle w:val="a4"/>
              <w:numPr>
                <w:ilvl w:val="0"/>
                <w:numId w:val="6"/>
              </w:numPr>
              <w:spacing w:before="0" w:line="240" w:lineRule="auto"/>
              <w:ind w:left="288"/>
              <w:rPr>
                <w:sz w:val="24"/>
                <w:szCs w:val="24"/>
              </w:rPr>
            </w:pPr>
            <w:r w:rsidRPr="00D21DB1">
              <w:rPr>
                <w:sz w:val="24"/>
                <w:szCs w:val="24"/>
              </w:rPr>
              <w:t>Узагальнення, аналіз та систематизація результатів документальних перевірок, визначення ефективності контрольно-перевірочної роботи структурних підрозділів аудиту, внесення до ДПС пропозицій щодо її поліпшення</w:t>
            </w:r>
            <w:r w:rsidR="00D21DB1">
              <w:rPr>
                <w:sz w:val="24"/>
                <w:szCs w:val="24"/>
              </w:rPr>
              <w:t>.</w:t>
            </w:r>
          </w:p>
          <w:p w:rsidR="00BE5477" w:rsidRPr="00D21DB1" w:rsidRDefault="00BE5477" w:rsidP="00146DC3">
            <w:pPr>
              <w:pStyle w:val="a4"/>
              <w:numPr>
                <w:ilvl w:val="0"/>
                <w:numId w:val="6"/>
              </w:numPr>
              <w:spacing w:before="0" w:line="240" w:lineRule="auto"/>
              <w:ind w:left="288"/>
              <w:rPr>
                <w:sz w:val="24"/>
                <w:szCs w:val="24"/>
              </w:rPr>
            </w:pPr>
            <w:r w:rsidRPr="00D21DB1">
              <w:rPr>
                <w:color w:val="000000"/>
                <w:sz w:val="24"/>
                <w:szCs w:val="24"/>
              </w:rPr>
              <w:t>Організація виконання завдань та доручень керівництва ГУ з питань, що належать до компетенції структурного підрозділу. Підготовка за дорученням керівництва ГУ аналітичних та інформаційних матеріалів у межах компетенції. Взаємодія у межах компетенції із структурними підрозділами ГУ та іншими територіальними органами ДПС. Підготовка звіту щодо виконання плану роботи структурного підрозділу</w:t>
            </w:r>
            <w:r w:rsidR="00D21DB1">
              <w:rPr>
                <w:color w:val="000000"/>
                <w:sz w:val="24"/>
                <w:szCs w:val="24"/>
              </w:rPr>
              <w:t>.</w:t>
            </w:r>
          </w:p>
          <w:p w:rsidR="00BE5477" w:rsidRPr="00D21DB1" w:rsidRDefault="00BE5477" w:rsidP="00146DC3">
            <w:pPr>
              <w:pStyle w:val="a4"/>
              <w:numPr>
                <w:ilvl w:val="0"/>
                <w:numId w:val="6"/>
              </w:numPr>
              <w:spacing w:before="0" w:line="240" w:lineRule="auto"/>
              <w:ind w:left="288"/>
              <w:rPr>
                <w:sz w:val="24"/>
                <w:szCs w:val="24"/>
              </w:rPr>
            </w:pPr>
            <w:r w:rsidRPr="00D21DB1">
              <w:rPr>
                <w:color w:val="000000"/>
                <w:sz w:val="24"/>
                <w:szCs w:val="24"/>
              </w:rPr>
              <w:t xml:space="preserve">Проведення роз’яснювальної роботи серед платників податків, зборів, платежів. Участь у проведенні електронних консультацій з громадськістю стосовно проектів нормативно-правових актів, розробником яких є ДПС, на </w:t>
            </w:r>
            <w:proofErr w:type="spellStart"/>
            <w:r w:rsidRPr="00D21DB1">
              <w:rPr>
                <w:color w:val="000000"/>
                <w:sz w:val="24"/>
                <w:szCs w:val="24"/>
              </w:rPr>
              <w:t>веб-порталі</w:t>
            </w:r>
            <w:proofErr w:type="spellEnd"/>
            <w:r w:rsidRPr="00D21DB1">
              <w:rPr>
                <w:color w:val="000000"/>
                <w:sz w:val="24"/>
                <w:szCs w:val="24"/>
              </w:rPr>
              <w:t xml:space="preserve"> ДПС та урядовому </w:t>
            </w:r>
            <w:proofErr w:type="spellStart"/>
            <w:r w:rsidRPr="00D21DB1">
              <w:rPr>
                <w:color w:val="000000"/>
                <w:sz w:val="24"/>
                <w:szCs w:val="24"/>
              </w:rPr>
              <w:t>веб-сайті</w:t>
            </w:r>
            <w:proofErr w:type="spellEnd"/>
            <w:r w:rsidRPr="00D21DB1">
              <w:rPr>
                <w:color w:val="000000"/>
                <w:sz w:val="24"/>
                <w:szCs w:val="24"/>
              </w:rPr>
              <w:t xml:space="preserve"> «Громадянське суспільство та влада». Забезпечення своєчасного збору, накопичення, розповсюдження, збереження і використання інформації щодо проектів</w:t>
            </w:r>
            <w:r w:rsidR="00D21DB1">
              <w:rPr>
                <w:color w:val="000000"/>
                <w:sz w:val="24"/>
                <w:szCs w:val="24"/>
              </w:rPr>
              <w:t>.</w:t>
            </w:r>
          </w:p>
          <w:p w:rsidR="00BE5477" w:rsidRPr="00D21DB1" w:rsidRDefault="00BE5477" w:rsidP="00146DC3">
            <w:pPr>
              <w:pStyle w:val="a4"/>
              <w:numPr>
                <w:ilvl w:val="0"/>
                <w:numId w:val="6"/>
              </w:numPr>
              <w:spacing w:before="0" w:line="240" w:lineRule="auto"/>
              <w:ind w:left="288"/>
              <w:rPr>
                <w:sz w:val="24"/>
                <w:szCs w:val="24"/>
              </w:rPr>
            </w:pPr>
            <w:r w:rsidRPr="00D21DB1">
              <w:rPr>
                <w:color w:val="000000"/>
                <w:sz w:val="24"/>
                <w:szCs w:val="24"/>
              </w:rPr>
              <w:t xml:space="preserve">Ведення обліку документів, забезпечення їх зберігання, оперативного пошуку, доставки та надання інформації щодо них. Ведення реєстрації, обліку, зберігання та використання документів з грифом «Для службового користування». Направлення власної кореспонденції структурного підрозділу органів ДПС до інших підрозділів у автоматизованій системі електронного документообігу. Формування документів у </w:t>
            </w:r>
            <w:r w:rsidRPr="00D21DB1">
              <w:rPr>
                <w:color w:val="000000"/>
                <w:sz w:val="24"/>
                <w:szCs w:val="24"/>
              </w:rPr>
              <w:lastRenderedPageBreak/>
              <w:t>справи, підготовка супровідних (описи або акти) документів до передачі на архівне зберігання або знищення. Нерозголошення посадовими особами у будь-який спосіб персональних даних, які їм було довірено або які стали відомі у зв’язку з виконанням службових обов’язків</w:t>
            </w:r>
            <w:r w:rsidR="00D21DB1">
              <w:rPr>
                <w:color w:val="000000"/>
                <w:sz w:val="24"/>
                <w:szCs w:val="24"/>
              </w:rPr>
              <w:t>.</w:t>
            </w:r>
          </w:p>
          <w:p w:rsidR="00BE5477" w:rsidRPr="00D21DB1" w:rsidRDefault="00BE5477" w:rsidP="00146DC3">
            <w:pPr>
              <w:pStyle w:val="a4"/>
              <w:numPr>
                <w:ilvl w:val="0"/>
                <w:numId w:val="6"/>
              </w:numPr>
              <w:spacing w:before="0" w:line="240" w:lineRule="auto"/>
              <w:ind w:left="288"/>
              <w:rPr>
                <w:sz w:val="24"/>
                <w:szCs w:val="24"/>
              </w:rPr>
            </w:pPr>
            <w:r w:rsidRPr="00D21DB1">
              <w:rPr>
                <w:color w:val="000000"/>
                <w:sz w:val="24"/>
                <w:szCs w:val="24"/>
              </w:rPr>
              <w:t>Розгляд звернень громадян та надання відповідей на них в межах компетенції. Забезпечення прозорості, достовірності та відкритості інформації про діяльність територіальних підрозділів ДПС, вільного отримання її юридичними, фізичними особами та об’єднаннями громадян без статусу юридичної особи, крім обмежень встановлених законодавством. Надання інформації про діяльність ГУ за запитами на отримання публічної інформації</w:t>
            </w:r>
            <w:r w:rsidR="00D21DB1">
              <w:rPr>
                <w:color w:val="000000"/>
                <w:sz w:val="24"/>
                <w:szCs w:val="24"/>
              </w:rPr>
              <w:t>.</w:t>
            </w:r>
          </w:p>
          <w:p w:rsidR="00BE5477" w:rsidRPr="00D21DB1" w:rsidRDefault="00D21DB1" w:rsidP="00146DC3">
            <w:pPr>
              <w:pStyle w:val="a4"/>
              <w:numPr>
                <w:ilvl w:val="0"/>
                <w:numId w:val="6"/>
              </w:numPr>
              <w:spacing w:before="0" w:line="240" w:lineRule="auto"/>
              <w:ind w:left="288"/>
              <w:rPr>
                <w:sz w:val="24"/>
                <w:szCs w:val="24"/>
              </w:rPr>
            </w:pPr>
            <w:r w:rsidRPr="00D21DB1">
              <w:rPr>
                <w:color w:val="000000"/>
                <w:sz w:val="24"/>
                <w:szCs w:val="24"/>
              </w:rPr>
              <w:t>Використання інформаційних, телекомунікаційних та інформаційно-телекомунікаційних систем ДПС для отримання інформації, необхідної для виконання функціональних обов’язків структурними підрозділами ГУ</w:t>
            </w:r>
            <w:r>
              <w:rPr>
                <w:color w:val="000000"/>
                <w:sz w:val="24"/>
                <w:szCs w:val="24"/>
              </w:rPr>
              <w:t>.</w:t>
            </w:r>
          </w:p>
          <w:p w:rsidR="00D21DB1" w:rsidRPr="00D21DB1" w:rsidRDefault="00D21DB1" w:rsidP="00146DC3">
            <w:pPr>
              <w:pStyle w:val="a4"/>
              <w:numPr>
                <w:ilvl w:val="0"/>
                <w:numId w:val="6"/>
              </w:numPr>
              <w:spacing w:before="0" w:line="240" w:lineRule="auto"/>
              <w:ind w:left="288"/>
              <w:rPr>
                <w:sz w:val="24"/>
                <w:szCs w:val="24"/>
              </w:rPr>
            </w:pPr>
            <w:r w:rsidRPr="00D21DB1">
              <w:rPr>
                <w:sz w:val="24"/>
                <w:szCs w:val="24"/>
              </w:rPr>
              <w:t>Організація виконання, контроль та супроводження матеріалів під час проведення процедури адміністративного та судового оскарження результатів контрольно-перевірочної роботи. Взаємодія у межах компетенції із структурними підрозділами ГУ та іншими територіальними органами ДПС</w:t>
            </w:r>
            <w:r>
              <w:rPr>
                <w:sz w:val="24"/>
                <w:szCs w:val="24"/>
              </w:rPr>
              <w:t>.</w:t>
            </w:r>
          </w:p>
          <w:p w:rsidR="00D21DB1" w:rsidRPr="006925E6" w:rsidRDefault="00D21DB1" w:rsidP="00146DC3">
            <w:pPr>
              <w:pStyle w:val="a4"/>
              <w:numPr>
                <w:ilvl w:val="0"/>
                <w:numId w:val="6"/>
              </w:numPr>
              <w:spacing w:before="0" w:line="240" w:lineRule="auto"/>
              <w:ind w:left="288"/>
              <w:rPr>
                <w:sz w:val="24"/>
                <w:szCs w:val="24"/>
              </w:rPr>
            </w:pPr>
            <w:r w:rsidRPr="00D21DB1">
              <w:rPr>
                <w:sz w:val="24"/>
                <w:szCs w:val="24"/>
              </w:rPr>
              <w:t>Дотримання Правил етичної поведінки в органах Державної податкової служби та вимог антикорупційного законодавства</w:t>
            </w:r>
            <w:r>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Умови оплати праці</w:t>
            </w:r>
          </w:p>
        </w:tc>
        <w:tc>
          <w:tcPr>
            <w:tcW w:w="6946" w:type="dxa"/>
            <w:vAlign w:val="center"/>
          </w:tcPr>
          <w:p w:rsidR="008A409E" w:rsidRDefault="008A409E" w:rsidP="008A409E">
            <w:pPr>
              <w:pStyle w:val="a4"/>
              <w:spacing w:before="0" w:line="240" w:lineRule="auto"/>
              <w:ind w:firstLine="0"/>
              <w:rPr>
                <w:sz w:val="24"/>
                <w:szCs w:val="24"/>
              </w:rPr>
            </w:pPr>
            <w:r>
              <w:rPr>
                <w:sz w:val="24"/>
                <w:szCs w:val="24"/>
              </w:rPr>
              <w:t>П</w:t>
            </w:r>
            <w:r w:rsidR="00131B14" w:rsidRPr="007471B3">
              <w:rPr>
                <w:sz w:val="24"/>
                <w:szCs w:val="24"/>
              </w:rPr>
              <w:t xml:space="preserve">осадовий оклад – </w:t>
            </w:r>
            <w:r w:rsidR="00D74278">
              <w:rPr>
                <w:sz w:val="24"/>
                <w:szCs w:val="24"/>
              </w:rPr>
              <w:t>5</w:t>
            </w:r>
            <w:r w:rsidR="00212923">
              <w:rPr>
                <w:sz w:val="24"/>
                <w:szCs w:val="24"/>
              </w:rPr>
              <w:t xml:space="preserve"> </w:t>
            </w:r>
            <w:r w:rsidR="00D74278">
              <w:rPr>
                <w:sz w:val="24"/>
                <w:szCs w:val="24"/>
              </w:rPr>
              <w:t>500</w:t>
            </w:r>
            <w:r w:rsidR="00AE2990">
              <w:rPr>
                <w:sz w:val="24"/>
                <w:szCs w:val="24"/>
              </w:rPr>
              <w:t xml:space="preserve"> </w:t>
            </w:r>
            <w:r>
              <w:rPr>
                <w:sz w:val="24"/>
                <w:szCs w:val="24"/>
              </w:rPr>
              <w:t>гривень.</w:t>
            </w:r>
          </w:p>
          <w:p w:rsidR="008A409E" w:rsidRPr="0035607E" w:rsidRDefault="008A409E" w:rsidP="008A409E">
            <w:pPr>
              <w:pStyle w:val="a4"/>
              <w:spacing w:before="0" w:line="240" w:lineRule="auto"/>
              <w:ind w:firstLine="0"/>
              <w:rPr>
                <w:sz w:val="24"/>
                <w:szCs w:val="24"/>
              </w:rPr>
            </w:pPr>
            <w:r w:rsidRPr="0035607E">
              <w:rPr>
                <w:sz w:val="24"/>
                <w:szCs w:val="24"/>
              </w:rPr>
              <w:t xml:space="preserve">Надбавка за вислугу років, надбавка за ранг державного службовця, надбавка за інтенсивність праці (Закон України </w:t>
            </w:r>
            <w:r w:rsidRPr="0035607E">
              <w:rPr>
                <w:sz w:val="24"/>
                <w:szCs w:val="24"/>
              </w:rPr>
              <w:br/>
              <w:t xml:space="preserve">від 10 грудня 2015 року № 889-VIII «Про державну службу», постанова Кабінету Міністрів України від 18 січня 2017 року </w:t>
            </w:r>
            <w:r w:rsidRPr="0035607E">
              <w:rPr>
                <w:sz w:val="24"/>
                <w:szCs w:val="24"/>
              </w:rPr>
              <w:br/>
              <w:t xml:space="preserve">№ 15 «Питання оплати праці працівників державних органів» </w:t>
            </w:r>
            <w:r w:rsidRPr="0035607E">
              <w:rPr>
                <w:sz w:val="24"/>
                <w:szCs w:val="24"/>
              </w:rPr>
              <w:br/>
              <w:t>(із змінами і доповненнями).</w:t>
            </w:r>
          </w:p>
          <w:p w:rsidR="00131B14" w:rsidRPr="007471B3" w:rsidRDefault="008A409E" w:rsidP="008A409E">
            <w:pPr>
              <w:spacing w:line="240" w:lineRule="auto"/>
              <w:ind w:firstLine="0"/>
              <w:rPr>
                <w:sz w:val="24"/>
                <w:szCs w:val="24"/>
              </w:rPr>
            </w:pPr>
            <w:r w:rsidRPr="0035607E">
              <w:rPr>
                <w:sz w:val="24"/>
                <w:szCs w:val="24"/>
              </w:rPr>
              <w:t>За результатами роботи та за наявності достатнього фонду оплати праці – премія.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Інформація про строковість призначення на посаду</w:t>
            </w:r>
          </w:p>
        </w:tc>
        <w:tc>
          <w:tcPr>
            <w:tcW w:w="6946" w:type="dxa"/>
            <w:vAlign w:val="center"/>
          </w:tcPr>
          <w:p w:rsidR="00131B14" w:rsidRPr="003851E7" w:rsidRDefault="00362BCE" w:rsidP="00D418F3">
            <w:pPr>
              <w:spacing w:line="240" w:lineRule="auto"/>
              <w:ind w:firstLine="0"/>
              <w:rPr>
                <w:sz w:val="24"/>
                <w:szCs w:val="24"/>
              </w:rPr>
            </w:pPr>
            <w:r>
              <w:rPr>
                <w:sz w:val="24"/>
                <w:szCs w:val="24"/>
              </w:rPr>
              <w:t>Н</w:t>
            </w:r>
            <w:r w:rsidR="00F66C95">
              <w:rPr>
                <w:sz w:val="24"/>
                <w:szCs w:val="24"/>
              </w:rPr>
              <w:t xml:space="preserve">а період </w:t>
            </w:r>
            <w:r w:rsidR="00F66C95" w:rsidRPr="003851E7">
              <w:rPr>
                <w:sz w:val="24"/>
                <w:szCs w:val="24"/>
              </w:rPr>
              <w:t xml:space="preserve">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00F66C95" w:rsidRPr="003851E7">
              <w:rPr>
                <w:sz w:val="24"/>
                <w:szCs w:val="24"/>
              </w:rPr>
              <w:t>коронавірусом</w:t>
            </w:r>
            <w:proofErr w:type="spellEnd"/>
            <w:r w:rsidR="00F66C95" w:rsidRPr="003851E7">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2F1096" w:rsidRPr="003851E7" w:rsidRDefault="002F1096" w:rsidP="00D418F3">
            <w:pPr>
              <w:pStyle w:val="a4"/>
              <w:spacing w:before="0" w:line="240" w:lineRule="auto"/>
              <w:ind w:firstLine="0"/>
              <w:rPr>
                <w:sz w:val="24"/>
                <w:szCs w:val="24"/>
              </w:rPr>
            </w:pPr>
            <w:r w:rsidRPr="003851E7">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2F1096" w:rsidRPr="003851E7" w:rsidRDefault="002F1096" w:rsidP="00D418F3">
            <w:pPr>
              <w:pStyle w:val="a4"/>
              <w:spacing w:before="0" w:line="240" w:lineRule="auto"/>
              <w:ind w:firstLine="0"/>
              <w:rPr>
                <w:sz w:val="24"/>
                <w:szCs w:val="24"/>
              </w:rPr>
            </w:pPr>
            <w:r w:rsidRPr="003851E7">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затвердженого постановою Кабінету Міністрів України від 22 квітня 2020 року</w:t>
            </w:r>
            <w:r w:rsidR="00C73B9B" w:rsidRPr="003851E7">
              <w:rPr>
                <w:sz w:val="24"/>
                <w:szCs w:val="24"/>
              </w:rPr>
              <w:t xml:space="preserve"> № 290 </w:t>
            </w:r>
            <w:r w:rsidRPr="003851E7">
              <w:rPr>
                <w:sz w:val="24"/>
                <w:szCs w:val="24"/>
              </w:rPr>
              <w:t>(далі – Порядок);</w:t>
            </w:r>
          </w:p>
          <w:p w:rsidR="002F1096" w:rsidRPr="003851E7" w:rsidRDefault="002F1096" w:rsidP="00D418F3">
            <w:pPr>
              <w:pStyle w:val="a4"/>
              <w:spacing w:before="0" w:line="240" w:lineRule="auto"/>
              <w:ind w:firstLine="0"/>
              <w:rPr>
                <w:sz w:val="24"/>
                <w:szCs w:val="24"/>
              </w:rPr>
            </w:pPr>
            <w:r w:rsidRPr="003851E7">
              <w:rPr>
                <w:sz w:val="24"/>
                <w:szCs w:val="24"/>
              </w:rPr>
              <w:t>2) резюме за формою згідно з додатком 2 до Порядку;</w:t>
            </w:r>
          </w:p>
          <w:p w:rsidR="002F1096" w:rsidRPr="003851E7" w:rsidRDefault="002F1096" w:rsidP="00D418F3">
            <w:pPr>
              <w:pStyle w:val="a4"/>
              <w:spacing w:before="0" w:line="240" w:lineRule="auto"/>
              <w:ind w:firstLine="0"/>
              <w:rPr>
                <w:sz w:val="24"/>
                <w:szCs w:val="24"/>
              </w:rPr>
            </w:pPr>
            <w:r w:rsidRPr="003851E7">
              <w:rPr>
                <w:sz w:val="24"/>
                <w:szCs w:val="24"/>
              </w:rPr>
              <w:t xml:space="preserve">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w:t>
            </w:r>
            <w:r w:rsidRPr="003851E7">
              <w:rPr>
                <w:sz w:val="24"/>
                <w:szCs w:val="24"/>
              </w:rPr>
              <w:lastRenderedPageBreak/>
              <w:t>проходження перевірки та на оприлюднення відомостей стосовно неї відповідно до зазначеного Закону.</w:t>
            </w:r>
          </w:p>
          <w:p w:rsidR="002F1096" w:rsidRPr="003851E7" w:rsidRDefault="002F1096" w:rsidP="00D418F3">
            <w:pPr>
              <w:pStyle w:val="a4"/>
              <w:spacing w:before="0" w:line="240" w:lineRule="auto"/>
              <w:ind w:firstLine="0"/>
              <w:rPr>
                <w:sz w:val="24"/>
                <w:szCs w:val="24"/>
              </w:rPr>
            </w:pPr>
            <w:r w:rsidRPr="003851E7">
              <w:rPr>
                <w:sz w:val="24"/>
                <w:szCs w:val="24"/>
              </w:rPr>
              <w:t>Додатки до заяви не є обов’язковими для подання;</w:t>
            </w:r>
          </w:p>
          <w:p w:rsidR="002F1096" w:rsidRPr="003851E7" w:rsidRDefault="002F1096" w:rsidP="00D418F3">
            <w:pPr>
              <w:pStyle w:val="a4"/>
              <w:spacing w:before="0" w:line="240" w:lineRule="auto"/>
              <w:ind w:firstLine="0"/>
              <w:rPr>
                <w:sz w:val="24"/>
                <w:szCs w:val="24"/>
              </w:rPr>
            </w:pPr>
            <w:r w:rsidRPr="003851E7">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3851E7">
              <w:rPr>
                <w:sz w:val="24"/>
                <w:szCs w:val="24"/>
              </w:rPr>
              <w:t>компетентностей</w:t>
            </w:r>
            <w:proofErr w:type="spellEnd"/>
            <w:r w:rsidRPr="003851E7">
              <w:rPr>
                <w:sz w:val="24"/>
                <w:szCs w:val="24"/>
              </w:rPr>
              <w:t>, репутації (характеристики, рекомендації, наукові публікації тощо).</w:t>
            </w:r>
          </w:p>
          <w:p w:rsidR="002F1096" w:rsidRPr="003851E7" w:rsidRDefault="003746C5" w:rsidP="00362BCE">
            <w:pPr>
              <w:pStyle w:val="a4"/>
              <w:spacing w:before="0" w:line="240" w:lineRule="auto"/>
              <w:ind w:firstLine="0"/>
              <w:rPr>
                <w:sz w:val="24"/>
                <w:szCs w:val="24"/>
              </w:rPr>
            </w:pPr>
            <w:r>
              <w:rPr>
                <w:sz w:val="24"/>
                <w:szCs w:val="24"/>
              </w:rPr>
              <w:t xml:space="preserve">Інформація приймається до </w:t>
            </w:r>
            <w:r w:rsidRPr="003A1326">
              <w:rPr>
                <w:sz w:val="24"/>
                <w:szCs w:val="24"/>
                <w:lang w:val="ru-RU"/>
              </w:rPr>
              <w:t>17</w:t>
            </w:r>
            <w:r>
              <w:rPr>
                <w:sz w:val="24"/>
                <w:szCs w:val="24"/>
              </w:rPr>
              <w:t xml:space="preserve"> год. </w:t>
            </w:r>
            <w:r w:rsidRPr="003A1326">
              <w:rPr>
                <w:sz w:val="24"/>
                <w:szCs w:val="24"/>
                <w:lang w:val="ru-RU"/>
              </w:rPr>
              <w:t xml:space="preserve">00 </w:t>
            </w:r>
            <w:r>
              <w:rPr>
                <w:sz w:val="24"/>
                <w:szCs w:val="24"/>
              </w:rPr>
              <w:t xml:space="preserve">хв. </w:t>
            </w:r>
            <w:r>
              <w:rPr>
                <w:sz w:val="24"/>
                <w:szCs w:val="24"/>
                <w:lang w:val="ru-RU"/>
              </w:rPr>
              <w:t xml:space="preserve">07 </w:t>
            </w:r>
            <w:r>
              <w:rPr>
                <w:sz w:val="24"/>
                <w:szCs w:val="24"/>
              </w:rPr>
              <w:t xml:space="preserve">вересня 2020 року </w:t>
            </w:r>
            <w:r>
              <w:rPr>
                <w:color w:val="000000" w:themeColor="text1"/>
                <w:sz w:val="24"/>
                <w:szCs w:val="24"/>
              </w:rPr>
              <w:t>включно.</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C51B82" w:rsidRDefault="00AE2990" w:rsidP="00620A91">
            <w:pPr>
              <w:spacing w:line="240" w:lineRule="auto"/>
              <w:ind w:firstLine="0"/>
              <w:rPr>
                <w:sz w:val="24"/>
                <w:szCs w:val="24"/>
              </w:rPr>
            </w:pPr>
            <w:r>
              <w:rPr>
                <w:sz w:val="24"/>
                <w:szCs w:val="24"/>
              </w:rPr>
              <w:t>Ткач Юлія Станіславівна</w:t>
            </w:r>
            <w:r w:rsidR="007D0E36">
              <w:rPr>
                <w:sz w:val="24"/>
                <w:szCs w:val="24"/>
              </w:rPr>
              <w:t>,</w:t>
            </w:r>
          </w:p>
          <w:p w:rsidR="007D0E36" w:rsidRPr="00C51B82" w:rsidRDefault="007D0E36" w:rsidP="00620A91">
            <w:pPr>
              <w:spacing w:line="240" w:lineRule="auto"/>
              <w:ind w:firstLine="0"/>
              <w:rPr>
                <w:sz w:val="24"/>
                <w:szCs w:val="24"/>
              </w:rPr>
            </w:pPr>
            <w:r>
              <w:rPr>
                <w:sz w:val="24"/>
                <w:szCs w:val="24"/>
              </w:rPr>
              <w:t>Демченко Ірина Леонідівна</w:t>
            </w:r>
          </w:p>
          <w:p w:rsidR="00C51B82" w:rsidRDefault="00C5675B" w:rsidP="00620A91">
            <w:pPr>
              <w:spacing w:line="240" w:lineRule="auto"/>
              <w:ind w:firstLine="0"/>
              <w:rPr>
                <w:sz w:val="24"/>
                <w:szCs w:val="24"/>
              </w:rPr>
            </w:pPr>
            <w:r w:rsidRPr="00EA5076">
              <w:rPr>
                <w:sz w:val="24"/>
                <w:szCs w:val="24"/>
              </w:rPr>
              <w:t xml:space="preserve"> </w:t>
            </w:r>
            <w:r w:rsidR="00EA5076" w:rsidRPr="00EA5076">
              <w:rPr>
                <w:sz w:val="24"/>
                <w:szCs w:val="24"/>
              </w:rPr>
              <w:t>т</w:t>
            </w:r>
            <w:r w:rsidRPr="00EA5076">
              <w:rPr>
                <w:sz w:val="24"/>
                <w:szCs w:val="24"/>
              </w:rPr>
              <w:t>ел. </w:t>
            </w:r>
            <w:r w:rsidR="005061A7">
              <w:rPr>
                <w:sz w:val="24"/>
                <w:szCs w:val="24"/>
              </w:rPr>
              <w:t>+38</w:t>
            </w:r>
            <w:r w:rsidR="00EA5076" w:rsidRPr="00EA5076">
              <w:rPr>
                <w:sz w:val="24"/>
                <w:szCs w:val="24"/>
              </w:rPr>
              <w:t>(044)</w:t>
            </w:r>
            <w:r w:rsidRPr="00EA5076">
              <w:rPr>
                <w:sz w:val="24"/>
                <w:szCs w:val="24"/>
              </w:rPr>
              <w:t xml:space="preserve"> </w:t>
            </w:r>
            <w:r w:rsidR="00AE2990">
              <w:rPr>
                <w:sz w:val="24"/>
                <w:szCs w:val="24"/>
              </w:rPr>
              <w:t>236</w:t>
            </w:r>
            <w:r w:rsidR="00620A91">
              <w:rPr>
                <w:sz w:val="24"/>
                <w:szCs w:val="24"/>
              </w:rPr>
              <w:t xml:space="preserve"> </w:t>
            </w:r>
            <w:r w:rsidR="00AE2990">
              <w:rPr>
                <w:sz w:val="24"/>
                <w:szCs w:val="24"/>
              </w:rPr>
              <w:t>28 69</w:t>
            </w:r>
            <w:r w:rsidR="00C51B82">
              <w:rPr>
                <w:sz w:val="24"/>
                <w:szCs w:val="24"/>
              </w:rPr>
              <w:t>;</w:t>
            </w:r>
          </w:p>
          <w:p w:rsidR="00131B14" w:rsidRPr="00D418F3" w:rsidRDefault="00A70B75" w:rsidP="00AE2990">
            <w:pPr>
              <w:spacing w:line="240" w:lineRule="auto"/>
              <w:ind w:firstLine="0"/>
              <w:rPr>
                <w:sz w:val="24"/>
                <w:szCs w:val="24"/>
              </w:rPr>
            </w:pPr>
            <w:r>
              <w:rPr>
                <w:sz w:val="24"/>
                <w:szCs w:val="24"/>
              </w:rPr>
              <w:t>е</w:t>
            </w:r>
            <w:r w:rsidR="00C5675B" w:rsidRPr="00EA5076">
              <w:rPr>
                <w:sz w:val="24"/>
                <w:szCs w:val="24"/>
              </w:rPr>
              <w:t xml:space="preserve">-mail: </w:t>
            </w:r>
            <w:hyperlink r:id="rId7" w:history="1">
              <w:r w:rsidR="00610DAD" w:rsidRPr="00F4203C">
                <w:rPr>
                  <w:rStyle w:val="ad"/>
                  <w:sz w:val="24"/>
                  <w:szCs w:val="24"/>
                  <w:lang w:val="en-US"/>
                </w:rPr>
                <w:t>kyiv</w:t>
              </w:r>
              <w:r w:rsidR="00610DAD" w:rsidRPr="00685008">
                <w:rPr>
                  <w:rStyle w:val="ad"/>
                  <w:sz w:val="24"/>
                  <w:szCs w:val="24"/>
                  <w:lang w:val="ru-RU"/>
                </w:rPr>
                <w:t>.</w:t>
              </w:r>
              <w:r w:rsidR="00610DAD" w:rsidRPr="00F4203C">
                <w:rPr>
                  <w:rStyle w:val="ad"/>
                  <w:sz w:val="24"/>
                  <w:szCs w:val="24"/>
                  <w:lang w:val="en-US"/>
                </w:rPr>
                <w:t>personal</w:t>
              </w:r>
              <w:r w:rsidR="00610DAD" w:rsidRPr="00F4203C">
                <w:rPr>
                  <w:rStyle w:val="ad"/>
                  <w:sz w:val="24"/>
                  <w:szCs w:val="24"/>
                </w:rPr>
                <w:t>@</w:t>
              </w:r>
              <w:proofErr w:type="spellStart"/>
              <w:r w:rsidR="00610DAD" w:rsidRPr="00F4203C">
                <w:rPr>
                  <w:rStyle w:val="ad"/>
                  <w:sz w:val="24"/>
                  <w:szCs w:val="24"/>
                </w:rPr>
                <w:t>tax.gov.ua</w:t>
              </w:r>
              <w:proofErr w:type="spellEnd"/>
            </w:hyperlink>
            <w:r>
              <w:rPr>
                <w:rStyle w:val="ad"/>
                <w:color w:val="auto"/>
                <w:sz w:val="24"/>
                <w:szCs w:val="24"/>
                <w:u w:val="none"/>
              </w:rPr>
              <w:t>.</w:t>
            </w:r>
          </w:p>
        </w:tc>
      </w:tr>
      <w:tr w:rsidR="00131B14" w:rsidRPr="00131B14" w:rsidTr="00EA5076">
        <w:tc>
          <w:tcPr>
            <w:tcW w:w="10349" w:type="dxa"/>
            <w:gridSpan w:val="3"/>
            <w:vAlign w:val="center"/>
          </w:tcPr>
          <w:p w:rsidR="00131B14" w:rsidRPr="00D418F3" w:rsidRDefault="00131B14" w:rsidP="00D418F3">
            <w:pPr>
              <w:pStyle w:val="Default"/>
              <w:jc w:val="center"/>
              <w:rPr>
                <w:b/>
              </w:rPr>
            </w:pPr>
            <w:r w:rsidRPr="00D418F3">
              <w:rPr>
                <w:b/>
              </w:rPr>
              <w:t>Вимоги</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1.</w:t>
            </w:r>
          </w:p>
        </w:tc>
        <w:tc>
          <w:tcPr>
            <w:tcW w:w="2978" w:type="dxa"/>
            <w:vAlign w:val="center"/>
          </w:tcPr>
          <w:p w:rsidR="00131B14" w:rsidRPr="00D418F3" w:rsidRDefault="00131B14" w:rsidP="00131B14">
            <w:pPr>
              <w:pStyle w:val="Default"/>
              <w:rPr>
                <w:szCs w:val="26"/>
              </w:rPr>
            </w:pPr>
            <w:r w:rsidRPr="00D418F3">
              <w:rPr>
                <w:szCs w:val="26"/>
              </w:rPr>
              <w:t>Освіта</w:t>
            </w:r>
          </w:p>
        </w:tc>
        <w:tc>
          <w:tcPr>
            <w:tcW w:w="6946" w:type="dxa"/>
            <w:vAlign w:val="center"/>
          </w:tcPr>
          <w:p w:rsidR="009F1947" w:rsidRPr="005C6C96" w:rsidRDefault="009F1947" w:rsidP="009F1947">
            <w:pPr>
              <w:spacing w:line="240" w:lineRule="auto"/>
              <w:ind w:firstLine="0"/>
              <w:rPr>
                <w:rStyle w:val="rvts0"/>
                <w:sz w:val="24"/>
                <w:szCs w:val="24"/>
              </w:rPr>
            </w:pPr>
            <w:r w:rsidRPr="006E6589">
              <w:rPr>
                <w:rStyle w:val="rvts0"/>
                <w:sz w:val="24"/>
                <w:szCs w:val="24"/>
              </w:rPr>
              <w:t xml:space="preserve">вища, </w:t>
            </w:r>
            <w:r>
              <w:rPr>
                <w:rStyle w:val="rvts0"/>
                <w:sz w:val="24"/>
                <w:szCs w:val="24"/>
              </w:rPr>
              <w:t xml:space="preserve">ступінь освіти </w:t>
            </w:r>
            <w:r w:rsidRPr="006E6589">
              <w:rPr>
                <w:rStyle w:val="rvts0"/>
                <w:sz w:val="24"/>
                <w:szCs w:val="24"/>
              </w:rPr>
              <w:t>не нижче м</w:t>
            </w:r>
            <w:r>
              <w:rPr>
                <w:rStyle w:val="rvts0"/>
                <w:sz w:val="24"/>
                <w:szCs w:val="24"/>
              </w:rPr>
              <w:t>олодшого бакалавра або бакалавр</w:t>
            </w:r>
          </w:p>
          <w:p w:rsidR="00131B14" w:rsidRPr="00D418F3" w:rsidRDefault="00131B14" w:rsidP="00D418F3">
            <w:pPr>
              <w:ind w:firstLine="0"/>
              <w:rPr>
                <w:sz w:val="24"/>
                <w:szCs w:val="24"/>
              </w:rPr>
            </w:pP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2.</w:t>
            </w:r>
          </w:p>
        </w:tc>
        <w:tc>
          <w:tcPr>
            <w:tcW w:w="2978" w:type="dxa"/>
            <w:vAlign w:val="center"/>
          </w:tcPr>
          <w:p w:rsidR="00131B14" w:rsidRPr="00D418F3" w:rsidRDefault="00131B14" w:rsidP="00131B14">
            <w:pPr>
              <w:pStyle w:val="Default"/>
              <w:rPr>
                <w:szCs w:val="26"/>
              </w:rPr>
            </w:pPr>
            <w:r w:rsidRPr="00D418F3">
              <w:rPr>
                <w:szCs w:val="26"/>
              </w:rPr>
              <w:t>Досвід роботи</w:t>
            </w:r>
          </w:p>
        </w:tc>
        <w:tc>
          <w:tcPr>
            <w:tcW w:w="6946" w:type="dxa"/>
            <w:vAlign w:val="center"/>
          </w:tcPr>
          <w:p w:rsidR="00131B14" w:rsidRPr="009F1947" w:rsidRDefault="009F1947" w:rsidP="003851E7">
            <w:pPr>
              <w:spacing w:line="240" w:lineRule="auto"/>
              <w:ind w:left="28" w:firstLine="0"/>
              <w:rPr>
                <w:sz w:val="24"/>
                <w:szCs w:val="24"/>
              </w:rPr>
            </w:pPr>
            <w:r w:rsidRPr="009F1947">
              <w:rPr>
                <w:color w:val="000000"/>
                <w:sz w:val="24"/>
                <w:szCs w:val="24"/>
              </w:rPr>
              <w:t>не потребує</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3.</w:t>
            </w:r>
          </w:p>
        </w:tc>
        <w:tc>
          <w:tcPr>
            <w:tcW w:w="2978" w:type="dxa"/>
            <w:vAlign w:val="center"/>
          </w:tcPr>
          <w:p w:rsidR="00131B14" w:rsidRPr="00D418F3" w:rsidRDefault="00131B14" w:rsidP="00131B14">
            <w:pPr>
              <w:pStyle w:val="Default"/>
              <w:rPr>
                <w:szCs w:val="26"/>
              </w:rPr>
            </w:pPr>
            <w:r w:rsidRPr="00D418F3">
              <w:rPr>
                <w:szCs w:val="26"/>
              </w:rPr>
              <w:t>Володіння державно</w:t>
            </w:r>
            <w:r w:rsidR="007356D8">
              <w:rPr>
                <w:szCs w:val="26"/>
              </w:rPr>
              <w:t>ю</w:t>
            </w:r>
            <w:r w:rsidRPr="00D418F3">
              <w:rPr>
                <w:szCs w:val="26"/>
              </w:rPr>
              <w:t xml:space="preserve"> мовою</w:t>
            </w:r>
          </w:p>
        </w:tc>
        <w:tc>
          <w:tcPr>
            <w:tcW w:w="6946" w:type="dxa"/>
            <w:vAlign w:val="center"/>
          </w:tcPr>
          <w:p w:rsidR="00131B14" w:rsidRPr="00D418F3" w:rsidRDefault="00B54B9D" w:rsidP="00D418F3">
            <w:pPr>
              <w:spacing w:line="240" w:lineRule="auto"/>
              <w:ind w:firstLine="0"/>
              <w:rPr>
                <w:sz w:val="24"/>
                <w:szCs w:val="24"/>
              </w:rPr>
            </w:pPr>
            <w:r w:rsidRPr="00D418F3">
              <w:rPr>
                <w:sz w:val="24"/>
                <w:szCs w:val="24"/>
              </w:rPr>
              <w:t>вільне володіння</w:t>
            </w:r>
            <w:r w:rsidR="007356D8">
              <w:rPr>
                <w:sz w:val="24"/>
                <w:szCs w:val="24"/>
              </w:rPr>
              <w:t xml:space="preserve"> </w:t>
            </w:r>
            <w:r w:rsidR="007356D8" w:rsidRPr="007356D8">
              <w:rPr>
                <w:sz w:val="24"/>
                <w:szCs w:val="24"/>
              </w:rPr>
              <w:t>державною мовою</w:t>
            </w:r>
          </w:p>
        </w:tc>
      </w:tr>
    </w:tbl>
    <w:p w:rsidR="00131B14" w:rsidRPr="0081423A" w:rsidRDefault="00131B14" w:rsidP="00B54B9D">
      <w:pPr>
        <w:pStyle w:val="a4"/>
        <w:rPr>
          <w:sz w:val="2"/>
          <w:szCs w:val="2"/>
        </w:rPr>
      </w:pPr>
    </w:p>
    <w:sectPr w:rsidR="00131B14" w:rsidRPr="0081423A" w:rsidSect="00EA5076">
      <w:headerReference w:type="even" r:id="rId8"/>
      <w:headerReference w:type="default" r:id="rId9"/>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41C" w:rsidRDefault="000A541C">
      <w:r>
        <w:separator/>
      </w:r>
    </w:p>
  </w:endnote>
  <w:endnote w:type="continuationSeparator" w:id="0">
    <w:p w:rsidR="000A541C" w:rsidRDefault="000A54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41C" w:rsidRDefault="000A541C">
      <w:r>
        <w:separator/>
      </w:r>
    </w:p>
  </w:footnote>
  <w:footnote w:type="continuationSeparator" w:id="0">
    <w:p w:rsidR="000A541C" w:rsidRDefault="000A54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DC3" w:rsidRDefault="00890569">
    <w:pPr>
      <w:framePr w:wrap="around" w:vAnchor="text" w:hAnchor="margin" w:xAlign="center" w:y="1"/>
    </w:pPr>
    <w:fldSimple w:instr="PAGE  ">
      <w:r w:rsidR="00146DC3">
        <w:rPr>
          <w:noProof/>
        </w:rPr>
        <w:t>1</w:t>
      </w:r>
    </w:fldSimple>
  </w:p>
  <w:p w:rsidR="00146DC3" w:rsidRDefault="00146D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DC3" w:rsidRPr="0081423A" w:rsidRDefault="00890569">
    <w:pPr>
      <w:framePr w:wrap="around" w:vAnchor="text" w:hAnchor="margin" w:xAlign="center" w:y="1"/>
      <w:rPr>
        <w:sz w:val="20"/>
      </w:rPr>
    </w:pPr>
    <w:r w:rsidRPr="0081423A">
      <w:rPr>
        <w:sz w:val="20"/>
      </w:rPr>
      <w:fldChar w:fldCharType="begin"/>
    </w:r>
    <w:r w:rsidR="00146DC3" w:rsidRPr="0081423A">
      <w:rPr>
        <w:sz w:val="20"/>
      </w:rPr>
      <w:instrText xml:space="preserve">PAGE  </w:instrText>
    </w:r>
    <w:r w:rsidRPr="0081423A">
      <w:rPr>
        <w:sz w:val="20"/>
      </w:rPr>
      <w:fldChar w:fldCharType="separate"/>
    </w:r>
    <w:r w:rsidR="003746C5">
      <w:rPr>
        <w:noProof/>
        <w:sz w:val="20"/>
      </w:rPr>
      <w:t>3</w:t>
    </w:r>
    <w:r w:rsidRPr="0081423A">
      <w:rPr>
        <w:sz w:val="20"/>
      </w:rPr>
      <w:fldChar w:fldCharType="end"/>
    </w:r>
  </w:p>
  <w:p w:rsidR="00146DC3" w:rsidRPr="0081423A" w:rsidRDefault="00146DC3">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A279F"/>
    <w:multiLevelType w:val="multilevel"/>
    <w:tmpl w:val="7E7A9A98"/>
    <w:lvl w:ilvl="0">
      <w:start w:val="3"/>
      <w:numFmt w:val="decimal"/>
      <w:lvlText w:val="%1."/>
      <w:lvlJc w:val="left"/>
      <w:pPr>
        <w:ind w:left="675" w:hanging="6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
    <w:nsid w:val="080D0D1A"/>
    <w:multiLevelType w:val="hybridMultilevel"/>
    <w:tmpl w:val="538ECAA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463E5"/>
    <w:multiLevelType w:val="hybridMultilevel"/>
    <w:tmpl w:val="C82CE326"/>
    <w:lvl w:ilvl="0" w:tplc="1A661750">
      <w:start w:val="9"/>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nsid w:val="19F92E72"/>
    <w:multiLevelType w:val="hybridMultilevel"/>
    <w:tmpl w:val="89A4FF32"/>
    <w:lvl w:ilvl="0" w:tplc="D06C538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5F6783"/>
    <w:multiLevelType w:val="hybridMultilevel"/>
    <w:tmpl w:val="2702D26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8A7ED1"/>
    <w:multiLevelType w:val="hybridMultilevel"/>
    <w:tmpl w:val="30F22BE6"/>
    <w:lvl w:ilvl="0" w:tplc="DDCEC9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32932"/>
    <w:rsid w:val="000457FD"/>
    <w:rsid w:val="00046981"/>
    <w:rsid w:val="00053AD7"/>
    <w:rsid w:val="00054070"/>
    <w:rsid w:val="00055494"/>
    <w:rsid w:val="00065176"/>
    <w:rsid w:val="00066F4A"/>
    <w:rsid w:val="000726DC"/>
    <w:rsid w:val="000A541C"/>
    <w:rsid w:val="000E47E5"/>
    <w:rsid w:val="000E5AB4"/>
    <w:rsid w:val="00100E7D"/>
    <w:rsid w:val="00120DC1"/>
    <w:rsid w:val="001242FE"/>
    <w:rsid w:val="00131B14"/>
    <w:rsid w:val="00134584"/>
    <w:rsid w:val="00146DAA"/>
    <w:rsid w:val="00146DC3"/>
    <w:rsid w:val="00156555"/>
    <w:rsid w:val="00167604"/>
    <w:rsid w:val="00180D0C"/>
    <w:rsid w:val="001909D2"/>
    <w:rsid w:val="0019116D"/>
    <w:rsid w:val="001A575E"/>
    <w:rsid w:val="001A5FC5"/>
    <w:rsid w:val="001A6F60"/>
    <w:rsid w:val="001D7162"/>
    <w:rsid w:val="001E3E40"/>
    <w:rsid w:val="001F638A"/>
    <w:rsid w:val="00210F96"/>
    <w:rsid w:val="00212923"/>
    <w:rsid w:val="00212A48"/>
    <w:rsid w:val="00222321"/>
    <w:rsid w:val="00244D26"/>
    <w:rsid w:val="00247D91"/>
    <w:rsid w:val="00257F4C"/>
    <w:rsid w:val="002648FB"/>
    <w:rsid w:val="00271C4B"/>
    <w:rsid w:val="002837E3"/>
    <w:rsid w:val="002A798F"/>
    <w:rsid w:val="002B769A"/>
    <w:rsid w:val="002F1096"/>
    <w:rsid w:val="003311DA"/>
    <w:rsid w:val="003322E7"/>
    <w:rsid w:val="003335EB"/>
    <w:rsid w:val="003403D9"/>
    <w:rsid w:val="0035607E"/>
    <w:rsid w:val="00356351"/>
    <w:rsid w:val="00362BCE"/>
    <w:rsid w:val="0037378F"/>
    <w:rsid w:val="003746C5"/>
    <w:rsid w:val="00382CF8"/>
    <w:rsid w:val="003851E7"/>
    <w:rsid w:val="003A61D8"/>
    <w:rsid w:val="003B1DB4"/>
    <w:rsid w:val="003C31F3"/>
    <w:rsid w:val="003C42E1"/>
    <w:rsid w:val="003D3076"/>
    <w:rsid w:val="003D4A62"/>
    <w:rsid w:val="003D5D9C"/>
    <w:rsid w:val="003E5E1B"/>
    <w:rsid w:val="003F1B5B"/>
    <w:rsid w:val="00402051"/>
    <w:rsid w:val="00404B02"/>
    <w:rsid w:val="00415BAC"/>
    <w:rsid w:val="00421DAD"/>
    <w:rsid w:val="00422AA1"/>
    <w:rsid w:val="00422BA5"/>
    <w:rsid w:val="00452EE5"/>
    <w:rsid w:val="00454361"/>
    <w:rsid w:val="00456E18"/>
    <w:rsid w:val="00462758"/>
    <w:rsid w:val="00465B68"/>
    <w:rsid w:val="004746C7"/>
    <w:rsid w:val="00481AEE"/>
    <w:rsid w:val="00482AE3"/>
    <w:rsid w:val="004A1108"/>
    <w:rsid w:val="004C6662"/>
    <w:rsid w:val="004E0A60"/>
    <w:rsid w:val="004F0FAD"/>
    <w:rsid w:val="004F53B9"/>
    <w:rsid w:val="005061A7"/>
    <w:rsid w:val="005167E8"/>
    <w:rsid w:val="00524BC3"/>
    <w:rsid w:val="005352CD"/>
    <w:rsid w:val="005372EC"/>
    <w:rsid w:val="00540E06"/>
    <w:rsid w:val="005522DB"/>
    <w:rsid w:val="005571FA"/>
    <w:rsid w:val="00574294"/>
    <w:rsid w:val="005A22BB"/>
    <w:rsid w:val="005B5299"/>
    <w:rsid w:val="005B66C3"/>
    <w:rsid w:val="005C0D08"/>
    <w:rsid w:val="005E62ED"/>
    <w:rsid w:val="00607B14"/>
    <w:rsid w:val="00610DAD"/>
    <w:rsid w:val="006125FA"/>
    <w:rsid w:val="00615CC1"/>
    <w:rsid w:val="00620A91"/>
    <w:rsid w:val="006313CA"/>
    <w:rsid w:val="00640989"/>
    <w:rsid w:val="00674601"/>
    <w:rsid w:val="006750B8"/>
    <w:rsid w:val="00683592"/>
    <w:rsid w:val="00685008"/>
    <w:rsid w:val="006925E6"/>
    <w:rsid w:val="006B725C"/>
    <w:rsid w:val="006C5419"/>
    <w:rsid w:val="006E47CD"/>
    <w:rsid w:val="006F634E"/>
    <w:rsid w:val="00715464"/>
    <w:rsid w:val="00727D4A"/>
    <w:rsid w:val="00731F80"/>
    <w:rsid w:val="007356D8"/>
    <w:rsid w:val="00735A86"/>
    <w:rsid w:val="007471B3"/>
    <w:rsid w:val="007566D6"/>
    <w:rsid w:val="00757775"/>
    <w:rsid w:val="00762A28"/>
    <w:rsid w:val="0076536A"/>
    <w:rsid w:val="00775F4D"/>
    <w:rsid w:val="00793E13"/>
    <w:rsid w:val="007951FA"/>
    <w:rsid w:val="007A1000"/>
    <w:rsid w:val="007C3A9D"/>
    <w:rsid w:val="007D0E36"/>
    <w:rsid w:val="007F1E98"/>
    <w:rsid w:val="0081423A"/>
    <w:rsid w:val="008212A8"/>
    <w:rsid w:val="0082647B"/>
    <w:rsid w:val="00827223"/>
    <w:rsid w:val="00827ED7"/>
    <w:rsid w:val="00832189"/>
    <w:rsid w:val="008412C5"/>
    <w:rsid w:val="0084219F"/>
    <w:rsid w:val="0086158D"/>
    <w:rsid w:val="00863E65"/>
    <w:rsid w:val="00890569"/>
    <w:rsid w:val="008A04B6"/>
    <w:rsid w:val="008A409E"/>
    <w:rsid w:val="008A7A9B"/>
    <w:rsid w:val="008D7095"/>
    <w:rsid w:val="008F4A2B"/>
    <w:rsid w:val="00900584"/>
    <w:rsid w:val="0091081C"/>
    <w:rsid w:val="009143ED"/>
    <w:rsid w:val="009220B0"/>
    <w:rsid w:val="009266AD"/>
    <w:rsid w:val="00945B49"/>
    <w:rsid w:val="00953965"/>
    <w:rsid w:val="00963B62"/>
    <w:rsid w:val="00966860"/>
    <w:rsid w:val="009732C4"/>
    <w:rsid w:val="00974D06"/>
    <w:rsid w:val="00994F91"/>
    <w:rsid w:val="009A0AB5"/>
    <w:rsid w:val="009C2CE0"/>
    <w:rsid w:val="009D0B03"/>
    <w:rsid w:val="009D128B"/>
    <w:rsid w:val="009F1947"/>
    <w:rsid w:val="00A13830"/>
    <w:rsid w:val="00A174F4"/>
    <w:rsid w:val="00A232C4"/>
    <w:rsid w:val="00A23CDE"/>
    <w:rsid w:val="00A3571A"/>
    <w:rsid w:val="00A54A89"/>
    <w:rsid w:val="00A55A78"/>
    <w:rsid w:val="00A70B75"/>
    <w:rsid w:val="00A769A8"/>
    <w:rsid w:val="00A83DCD"/>
    <w:rsid w:val="00A9367C"/>
    <w:rsid w:val="00AB2009"/>
    <w:rsid w:val="00AD4B4A"/>
    <w:rsid w:val="00AE2990"/>
    <w:rsid w:val="00AE6A40"/>
    <w:rsid w:val="00B0208E"/>
    <w:rsid w:val="00B02B0C"/>
    <w:rsid w:val="00B038C5"/>
    <w:rsid w:val="00B07D6F"/>
    <w:rsid w:val="00B12C52"/>
    <w:rsid w:val="00B17267"/>
    <w:rsid w:val="00B4510B"/>
    <w:rsid w:val="00B53D04"/>
    <w:rsid w:val="00B54B9D"/>
    <w:rsid w:val="00B55B8F"/>
    <w:rsid w:val="00B575B7"/>
    <w:rsid w:val="00B61744"/>
    <w:rsid w:val="00B6513A"/>
    <w:rsid w:val="00B66925"/>
    <w:rsid w:val="00B67A64"/>
    <w:rsid w:val="00B9042C"/>
    <w:rsid w:val="00B91898"/>
    <w:rsid w:val="00BA257F"/>
    <w:rsid w:val="00BB62D9"/>
    <w:rsid w:val="00BC7D20"/>
    <w:rsid w:val="00BE5477"/>
    <w:rsid w:val="00BF0DA7"/>
    <w:rsid w:val="00BF5A89"/>
    <w:rsid w:val="00C045F4"/>
    <w:rsid w:val="00C10208"/>
    <w:rsid w:val="00C45D36"/>
    <w:rsid w:val="00C51B82"/>
    <w:rsid w:val="00C5675B"/>
    <w:rsid w:val="00C6272E"/>
    <w:rsid w:val="00C73B9B"/>
    <w:rsid w:val="00C77253"/>
    <w:rsid w:val="00C85183"/>
    <w:rsid w:val="00C912FA"/>
    <w:rsid w:val="00C93DC6"/>
    <w:rsid w:val="00CA609B"/>
    <w:rsid w:val="00CB18B4"/>
    <w:rsid w:val="00CC3629"/>
    <w:rsid w:val="00CC51EA"/>
    <w:rsid w:val="00CD42B4"/>
    <w:rsid w:val="00D168E9"/>
    <w:rsid w:val="00D21DB1"/>
    <w:rsid w:val="00D2324D"/>
    <w:rsid w:val="00D418F3"/>
    <w:rsid w:val="00D4377F"/>
    <w:rsid w:val="00D44F3F"/>
    <w:rsid w:val="00D74278"/>
    <w:rsid w:val="00D85700"/>
    <w:rsid w:val="00DA3525"/>
    <w:rsid w:val="00DB261D"/>
    <w:rsid w:val="00DC4BCF"/>
    <w:rsid w:val="00DC64C3"/>
    <w:rsid w:val="00DE4A20"/>
    <w:rsid w:val="00DF65E8"/>
    <w:rsid w:val="00E03E96"/>
    <w:rsid w:val="00E111B5"/>
    <w:rsid w:val="00E3408A"/>
    <w:rsid w:val="00E35073"/>
    <w:rsid w:val="00E85B65"/>
    <w:rsid w:val="00E87D97"/>
    <w:rsid w:val="00E9152B"/>
    <w:rsid w:val="00EA5076"/>
    <w:rsid w:val="00EB1550"/>
    <w:rsid w:val="00EE0C98"/>
    <w:rsid w:val="00EF34C0"/>
    <w:rsid w:val="00F12E2E"/>
    <w:rsid w:val="00F33625"/>
    <w:rsid w:val="00F411F7"/>
    <w:rsid w:val="00F600F9"/>
    <w:rsid w:val="00F66C95"/>
    <w:rsid w:val="00F81292"/>
    <w:rsid w:val="00F815A8"/>
    <w:rsid w:val="00F82B47"/>
    <w:rsid w:val="00FA552B"/>
    <w:rsid w:val="00FF2CAD"/>
    <w:rsid w:val="00FF2F03"/>
    <w:rsid w:val="00FF7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rsid w:val="00F815A8"/>
    <w:pPr>
      <w:keepNext/>
      <w:spacing w:before="240"/>
      <w:ind w:left="567"/>
      <w:outlineLvl w:val="0"/>
    </w:pPr>
    <w:rPr>
      <w:b/>
      <w:smallCaps/>
    </w:rPr>
  </w:style>
  <w:style w:type="paragraph" w:styleId="2">
    <w:name w:val="heading 2"/>
    <w:basedOn w:val="a"/>
    <w:next w:val="a"/>
    <w:qFormat/>
    <w:rsid w:val="00F815A8"/>
    <w:pPr>
      <w:keepNext/>
      <w:spacing w:before="120"/>
      <w:ind w:left="567"/>
      <w:outlineLvl w:val="1"/>
    </w:pPr>
    <w:rPr>
      <w:b/>
    </w:rPr>
  </w:style>
  <w:style w:type="paragraph" w:styleId="3">
    <w:name w:val="heading 3"/>
    <w:basedOn w:val="a"/>
    <w:next w:val="a"/>
    <w:qFormat/>
    <w:rsid w:val="00F815A8"/>
    <w:pPr>
      <w:keepNext/>
      <w:spacing w:before="120"/>
      <w:ind w:left="567"/>
      <w:outlineLvl w:val="2"/>
    </w:pPr>
    <w:rPr>
      <w:b/>
      <w:i/>
    </w:rPr>
  </w:style>
  <w:style w:type="paragraph" w:styleId="4">
    <w:name w:val="heading 4"/>
    <w:basedOn w:val="a"/>
    <w:next w:val="a"/>
    <w:qFormat/>
    <w:rsid w:val="00F815A8"/>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15A8"/>
    <w:pPr>
      <w:tabs>
        <w:tab w:val="center" w:pos="4153"/>
        <w:tab w:val="right" w:pos="8306"/>
      </w:tabs>
    </w:pPr>
  </w:style>
  <w:style w:type="paragraph" w:customStyle="1" w:styleId="a4">
    <w:name w:val="Нормальний текст"/>
    <w:basedOn w:val="a"/>
    <w:rsid w:val="00F815A8"/>
    <w:pPr>
      <w:spacing w:before="120"/>
      <w:ind w:firstLine="567"/>
    </w:pPr>
  </w:style>
  <w:style w:type="paragraph" w:customStyle="1" w:styleId="a5">
    <w:name w:val="Шапка документу"/>
    <w:basedOn w:val="a"/>
    <w:rsid w:val="00F815A8"/>
    <w:pPr>
      <w:keepNext/>
      <w:keepLines/>
      <w:spacing w:after="240"/>
      <w:ind w:left="4536"/>
      <w:jc w:val="center"/>
    </w:pPr>
  </w:style>
  <w:style w:type="paragraph" w:styleId="a6">
    <w:name w:val="header"/>
    <w:basedOn w:val="a"/>
    <w:rsid w:val="00F815A8"/>
    <w:pPr>
      <w:tabs>
        <w:tab w:val="center" w:pos="4153"/>
        <w:tab w:val="right" w:pos="8306"/>
      </w:tabs>
    </w:pPr>
  </w:style>
  <w:style w:type="paragraph" w:customStyle="1" w:styleId="10">
    <w:name w:val="Підпис1"/>
    <w:basedOn w:val="a"/>
    <w:rsid w:val="00F815A8"/>
    <w:pPr>
      <w:keepLines/>
      <w:tabs>
        <w:tab w:val="center" w:pos="2268"/>
        <w:tab w:val="left" w:pos="6804"/>
      </w:tabs>
      <w:spacing w:before="360"/>
    </w:pPr>
    <w:rPr>
      <w:b/>
      <w:position w:val="-48"/>
    </w:rPr>
  </w:style>
  <w:style w:type="paragraph" w:customStyle="1" w:styleId="a7">
    <w:name w:val="Глава документу"/>
    <w:basedOn w:val="a"/>
    <w:next w:val="a"/>
    <w:rsid w:val="00F815A8"/>
    <w:pPr>
      <w:keepNext/>
      <w:keepLines/>
      <w:spacing w:before="120" w:after="120"/>
      <w:jc w:val="center"/>
    </w:pPr>
  </w:style>
  <w:style w:type="paragraph" w:customStyle="1" w:styleId="a8">
    <w:name w:val="Герб"/>
    <w:basedOn w:val="a"/>
    <w:rsid w:val="00F815A8"/>
    <w:pPr>
      <w:keepNext/>
      <w:keepLines/>
      <w:jc w:val="center"/>
    </w:pPr>
    <w:rPr>
      <w:sz w:val="144"/>
      <w:lang w:val="en-US"/>
    </w:rPr>
  </w:style>
  <w:style w:type="paragraph" w:customStyle="1" w:styleId="a9">
    <w:name w:val="Установа"/>
    <w:basedOn w:val="a"/>
    <w:rsid w:val="00F815A8"/>
    <w:pPr>
      <w:keepNext/>
      <w:keepLines/>
      <w:spacing w:before="120"/>
      <w:jc w:val="center"/>
    </w:pPr>
    <w:rPr>
      <w:b/>
      <w:sz w:val="40"/>
    </w:rPr>
  </w:style>
  <w:style w:type="paragraph" w:customStyle="1" w:styleId="aa">
    <w:name w:val="Вид документа"/>
    <w:basedOn w:val="a9"/>
    <w:next w:val="a"/>
    <w:rsid w:val="00F815A8"/>
    <w:pPr>
      <w:spacing w:before="360" w:after="240"/>
    </w:pPr>
    <w:rPr>
      <w:spacing w:val="20"/>
      <w:sz w:val="26"/>
    </w:rPr>
  </w:style>
  <w:style w:type="paragraph" w:customStyle="1" w:styleId="ab">
    <w:name w:val="Час та місце"/>
    <w:basedOn w:val="a"/>
    <w:rsid w:val="00F815A8"/>
    <w:pPr>
      <w:keepNext/>
      <w:keepLines/>
      <w:spacing w:before="120" w:after="240"/>
      <w:jc w:val="center"/>
    </w:pPr>
  </w:style>
  <w:style w:type="paragraph" w:customStyle="1" w:styleId="ac">
    <w:name w:val="Назва документа"/>
    <w:basedOn w:val="a"/>
    <w:next w:val="a4"/>
    <w:rsid w:val="00F815A8"/>
    <w:pPr>
      <w:keepNext/>
      <w:keepLines/>
      <w:spacing w:before="240" w:after="240"/>
      <w:jc w:val="center"/>
    </w:pPr>
    <w:rPr>
      <w:b/>
    </w:rPr>
  </w:style>
  <w:style w:type="paragraph" w:customStyle="1" w:styleId="NormalText">
    <w:name w:val="Normal Text"/>
    <w:basedOn w:val="a"/>
    <w:rsid w:val="00F815A8"/>
    <w:pPr>
      <w:ind w:firstLine="567"/>
    </w:pPr>
  </w:style>
  <w:style w:type="paragraph" w:customStyle="1" w:styleId="ShapkaDocumentu">
    <w:name w:val="Shapka Documentu"/>
    <w:basedOn w:val="NormalText"/>
    <w:rsid w:val="00F815A8"/>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rsid w:val="00131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 w:type="character" w:customStyle="1" w:styleId="rvts0">
    <w:name w:val="rvts0"/>
    <w:rsid w:val="009F1947"/>
    <w:rPr>
      <w:rFonts w:cs="Times New Roman"/>
    </w:rPr>
  </w:style>
  <w:style w:type="character" w:customStyle="1" w:styleId="20">
    <w:name w:val="Основной текст (2)_"/>
    <w:basedOn w:val="a0"/>
    <w:link w:val="21"/>
    <w:rsid w:val="006925E6"/>
    <w:rPr>
      <w:sz w:val="26"/>
      <w:szCs w:val="26"/>
      <w:shd w:val="clear" w:color="auto" w:fill="FFFFFF"/>
    </w:rPr>
  </w:style>
  <w:style w:type="paragraph" w:customStyle="1" w:styleId="21">
    <w:name w:val="Основной текст (2)1"/>
    <w:basedOn w:val="a"/>
    <w:link w:val="20"/>
    <w:rsid w:val="006925E6"/>
    <w:pPr>
      <w:widowControl w:val="0"/>
      <w:shd w:val="clear" w:color="auto" w:fill="FFFFFF"/>
      <w:spacing w:before="180" w:after="180" w:line="240" w:lineRule="atLeast"/>
      <w:ind w:firstLine="0"/>
    </w:pPr>
    <w:rPr>
      <w:sz w:val="26"/>
      <w:szCs w:val="26"/>
      <w:lang w:eastAsia="uk-UA"/>
    </w:rPr>
  </w:style>
  <w:style w:type="character" w:customStyle="1" w:styleId="283">
    <w:name w:val="Основной текст (2) + 83"/>
    <w:aliases w:val="5 pt8,Полужирный11"/>
    <w:basedOn w:val="20"/>
    <w:rsid w:val="006925E6"/>
    <w:rPr>
      <w:rFonts w:ascii="Times New Roman" w:hAnsi="Times New Roman" w:cs="Times New Roman"/>
      <w:b/>
      <w:bCs/>
      <w:sz w:val="17"/>
      <w:szCs w:val="17"/>
      <w:u w:val="none"/>
    </w:rPr>
  </w:style>
  <w:style w:type="character" w:customStyle="1" w:styleId="zoom-wrapper">
    <w:name w:val="zoom-wrapper"/>
    <w:basedOn w:val="a0"/>
    <w:rsid w:val="006925E6"/>
  </w:style>
  <w:style w:type="paragraph" w:styleId="af1">
    <w:name w:val="Normal (Web)"/>
    <w:basedOn w:val="a"/>
    <w:rsid w:val="00BE5477"/>
    <w:pPr>
      <w:spacing w:before="100" w:beforeAutospacing="1" w:after="100" w:afterAutospacing="1" w:line="240" w:lineRule="auto"/>
      <w:ind w:firstLine="0"/>
      <w:jc w:val="left"/>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pPr>
      <w:keepNext/>
      <w:spacing w:before="240"/>
      <w:ind w:left="567"/>
      <w:outlineLvl w:val="0"/>
    </w:pPr>
    <w:rPr>
      <w:b/>
      <w:smallCaps/>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736261">
      <w:bodyDiv w:val="1"/>
      <w:marLeft w:val="0"/>
      <w:marRight w:val="0"/>
      <w:marTop w:val="0"/>
      <w:marBottom w:val="0"/>
      <w:divBdr>
        <w:top w:val="none" w:sz="0" w:space="0" w:color="auto"/>
        <w:left w:val="none" w:sz="0" w:space="0" w:color="auto"/>
        <w:bottom w:val="none" w:sz="0" w:space="0" w:color="auto"/>
        <w:right w:val="none" w:sz="0" w:space="0" w:color="auto"/>
      </w:divBdr>
    </w:div>
    <w:div w:id="18611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iv.personal@tax.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1016</Words>
  <Characters>5796</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usr-dfs</cp:lastModifiedBy>
  <cp:revision>34</cp:revision>
  <cp:lastPrinted>2020-06-10T08:33:00Z</cp:lastPrinted>
  <dcterms:created xsi:type="dcterms:W3CDTF">2020-06-10T05:57:00Z</dcterms:created>
  <dcterms:modified xsi:type="dcterms:W3CDTF">2020-09-04T14:43:00Z</dcterms:modified>
</cp:coreProperties>
</file>